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</w:t>
      </w:r>
      <w:r w:rsidR="00B34AB2">
        <w:rPr>
          <w:rFonts w:ascii="Arial" w:hAnsi="Arial" w:cs="Arial"/>
          <w:sz w:val="24"/>
          <w:szCs w:val="24"/>
          <w:lang w:eastAsia="pt-BR"/>
        </w:rPr>
        <w:t>, eleger o Vice-Presidente da Comissão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 e 18/06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34AB2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CE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3F0C-6F5E-4035-B417-1D4A2D1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17</cp:revision>
  <dcterms:created xsi:type="dcterms:W3CDTF">2023-02-18T19:36:00Z</dcterms:created>
  <dcterms:modified xsi:type="dcterms:W3CDTF">2024-06-14T17:47:00Z</dcterms:modified>
</cp:coreProperties>
</file>